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shd w:val="clear" w:color="auto" w:fill="FFE8A7"/>
        <w:tblLook w:val="01E0" w:firstRow="1" w:lastRow="1" w:firstColumn="1" w:lastColumn="1" w:noHBand="0" w:noVBand="0"/>
      </w:tblPr>
      <w:tblGrid>
        <w:gridCol w:w="1065"/>
        <w:gridCol w:w="8449"/>
      </w:tblGrid>
      <w:tr w:rsidR="005D5B7B" w:rsidRPr="006B6051" w:rsidTr="00D45501">
        <w:tc>
          <w:tcPr>
            <w:tcW w:w="1065" w:type="dxa"/>
            <w:tcBorders>
              <w:top w:val="single" w:sz="8" w:space="0" w:color="3366FF"/>
              <w:bottom w:val="single" w:sz="18" w:space="0" w:color="3366FF"/>
              <w:right w:val="single" w:sz="6" w:space="0" w:color="3366FF"/>
            </w:tcBorders>
            <w:shd w:val="clear" w:color="auto" w:fill="FFE8A7"/>
          </w:tcPr>
          <w:p w:rsidR="005D5B7B" w:rsidRPr="00251FDD" w:rsidRDefault="005D5B7B" w:rsidP="00D45501">
            <w:pPr>
              <w:jc w:val="both"/>
              <w:rPr>
                <w:b/>
                <w:bCs/>
                <w:smallCaps/>
                <w:sz w:val="22"/>
                <w:szCs w:val="22"/>
              </w:rPr>
            </w:pPr>
            <w:r w:rsidRPr="00A21A47">
              <w:rPr>
                <w:b/>
                <w:bCs/>
                <w:sz w:val="22"/>
                <w:szCs w:val="22"/>
                <w:u w:val="single"/>
              </w:rPr>
              <w:t xml:space="preserve">Punto </w:t>
            </w:r>
            <w:r>
              <w:rPr>
                <w:b/>
                <w:bCs/>
                <w:sz w:val="22"/>
                <w:szCs w:val="22"/>
                <w:u w:val="single"/>
              </w:rPr>
              <w:t>17</w:t>
            </w:r>
          </w:p>
        </w:tc>
        <w:tc>
          <w:tcPr>
            <w:tcW w:w="8449" w:type="dxa"/>
            <w:tcBorders>
              <w:top w:val="single" w:sz="8" w:space="0" w:color="3366FF"/>
              <w:left w:val="single" w:sz="6" w:space="0" w:color="3366FF"/>
              <w:bottom w:val="single" w:sz="18" w:space="0" w:color="3366FF"/>
            </w:tcBorders>
            <w:shd w:val="clear" w:color="auto" w:fill="FFE8A7"/>
          </w:tcPr>
          <w:p w:rsidR="005D5B7B" w:rsidRPr="00312EA8" w:rsidRDefault="005D5B7B" w:rsidP="00D45501">
            <w:pPr>
              <w:autoSpaceDE w:val="0"/>
              <w:autoSpaceDN w:val="0"/>
              <w:adjustRightInd w:val="0"/>
              <w:rPr>
                <w:b/>
              </w:rPr>
            </w:pPr>
            <w:r w:rsidRPr="00312EA8">
              <w:rPr>
                <w:b/>
              </w:rPr>
              <w:t>DEFINIZIONE CRITERI PIANO ANNUALE DELLE ATTIVITÀ (EX ART. 28 - CCNL SCUOLA</w:t>
            </w:r>
          </w:p>
        </w:tc>
      </w:tr>
    </w:tbl>
    <w:p w:rsidR="005D5B7B" w:rsidRDefault="005D5B7B" w:rsidP="005D5B7B">
      <w:pPr>
        <w:jc w:val="both"/>
      </w:pPr>
    </w:p>
    <w:p w:rsidR="005D5B7B" w:rsidRPr="00D90554" w:rsidRDefault="005D5B7B" w:rsidP="005D5B7B">
      <w:pPr>
        <w:jc w:val="both"/>
      </w:pPr>
      <w:r>
        <w:t>La D.S., per gli incontri degli Organi Collegiali, propone di introdurre il martedì come giorno prevalente per le riunioni collegiali, avviando una turnazione dei giorni là dove il solo martedì non bastasse, escludendo i prefestivi e il sabato, con un’ora di distacco tra le attività didattiche e gli incontri. Tali criteri possono subire qualche modifica relativa ad eventuali esigenze che potranno sorgere in itinere.</w:t>
      </w:r>
    </w:p>
    <w:p w:rsidR="005D5B7B" w:rsidRDefault="005D5B7B" w:rsidP="005D5B7B">
      <w:pPr>
        <w:jc w:val="both"/>
      </w:pP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shd w:val="clear" w:color="auto" w:fill="FFE8A7"/>
        <w:tblLook w:val="01E0" w:firstRow="1" w:lastRow="1" w:firstColumn="1" w:lastColumn="1" w:noHBand="0" w:noVBand="0"/>
      </w:tblPr>
      <w:tblGrid>
        <w:gridCol w:w="1065"/>
        <w:gridCol w:w="8449"/>
      </w:tblGrid>
      <w:tr w:rsidR="005D5B7B" w:rsidRPr="006B6051" w:rsidTr="00D45501">
        <w:tc>
          <w:tcPr>
            <w:tcW w:w="1065" w:type="dxa"/>
            <w:tcBorders>
              <w:top w:val="single" w:sz="8" w:space="0" w:color="3366FF"/>
              <w:bottom w:val="single" w:sz="18" w:space="0" w:color="3366FF"/>
              <w:right w:val="single" w:sz="6" w:space="0" w:color="3366FF"/>
            </w:tcBorders>
            <w:shd w:val="clear" w:color="auto" w:fill="FFE8A7"/>
          </w:tcPr>
          <w:p w:rsidR="005D5B7B" w:rsidRPr="00251FDD" w:rsidRDefault="005D5B7B" w:rsidP="00D45501">
            <w:pPr>
              <w:jc w:val="both"/>
              <w:rPr>
                <w:b/>
                <w:bCs/>
                <w:smallCaps/>
                <w:sz w:val="22"/>
                <w:szCs w:val="22"/>
              </w:rPr>
            </w:pPr>
            <w:r w:rsidRPr="00A21A47">
              <w:rPr>
                <w:b/>
                <w:bCs/>
                <w:sz w:val="22"/>
                <w:szCs w:val="22"/>
                <w:u w:val="single"/>
              </w:rPr>
              <w:t xml:space="preserve">Punto </w:t>
            </w:r>
            <w:r>
              <w:rPr>
                <w:b/>
                <w:bCs/>
                <w:sz w:val="22"/>
                <w:szCs w:val="22"/>
                <w:u w:val="single"/>
              </w:rPr>
              <w:t>18</w:t>
            </w:r>
          </w:p>
        </w:tc>
        <w:tc>
          <w:tcPr>
            <w:tcW w:w="8449" w:type="dxa"/>
            <w:tcBorders>
              <w:top w:val="single" w:sz="8" w:space="0" w:color="3366FF"/>
              <w:left w:val="single" w:sz="6" w:space="0" w:color="3366FF"/>
              <w:bottom w:val="single" w:sz="18" w:space="0" w:color="3366FF"/>
            </w:tcBorders>
            <w:shd w:val="clear" w:color="auto" w:fill="FFE8A7"/>
          </w:tcPr>
          <w:p w:rsidR="005D5B7B" w:rsidRPr="00491018" w:rsidRDefault="005D5B7B" w:rsidP="00D45501">
            <w:pPr>
              <w:autoSpaceDE w:val="0"/>
              <w:autoSpaceDN w:val="0"/>
              <w:adjustRightInd w:val="0"/>
              <w:rPr>
                <w:b/>
              </w:rPr>
            </w:pPr>
            <w:r w:rsidRPr="00491018">
              <w:rPr>
                <w:b/>
              </w:rPr>
              <w:t>FRUIZIONE PERMESSI PER AGGIORNAMENTO E FORMAZIONE: CRITERI</w:t>
            </w:r>
          </w:p>
        </w:tc>
      </w:tr>
    </w:tbl>
    <w:p w:rsidR="005D5B7B" w:rsidRDefault="005D5B7B" w:rsidP="005D5B7B">
      <w:pPr>
        <w:jc w:val="both"/>
      </w:pPr>
    </w:p>
    <w:p w:rsidR="005D5B7B" w:rsidRDefault="005D5B7B" w:rsidP="005D5B7B">
      <w:pPr>
        <w:spacing w:line="262" w:lineRule="auto"/>
        <w:ind w:left="125" w:right="127" w:firstLine="14"/>
        <w:jc w:val="both"/>
      </w:pPr>
      <w:r w:rsidRPr="001D1DDB">
        <w:t>Considerate le difficoltà ad effettuare la sostituzione per m</w:t>
      </w:r>
      <w:r>
        <w:t xml:space="preserve">ancanza di ore a disposizione, </w:t>
      </w:r>
      <w:r w:rsidRPr="001D1DDB">
        <w:t xml:space="preserve">tale tipologia di permessi sarà autorizzata fino a cinque giorni con l'esonero dal servizio, sulla base del criterio della turnazione rispetto ai fruitori del decorso anno scolastico o, in caso di parità, sulla base del sorteggio. Non possono usufruirne più di due docenti per attività. I permessi saranno conferiti unicamente per la partecipazione a percorsi di formazione ed aggiornamento    strettamente    correlate    con    la    funzione    </w:t>
      </w:r>
      <w:proofErr w:type="gramStart"/>
      <w:r w:rsidRPr="001D1DDB">
        <w:t>docente,</w:t>
      </w:r>
      <w:r>
        <w:t xml:space="preserve">  </w:t>
      </w:r>
      <w:r w:rsidRPr="001D1DDB">
        <w:t xml:space="preserve"> </w:t>
      </w:r>
      <w:proofErr w:type="gramEnd"/>
      <w:r w:rsidRPr="001D1DDB">
        <w:t xml:space="preserve">promossi     e     gestiti </w:t>
      </w:r>
      <w:proofErr w:type="spellStart"/>
      <w:r w:rsidRPr="001D1DDB">
        <w:t>dall</w:t>
      </w:r>
      <w:proofErr w:type="spellEnd"/>
      <w:r w:rsidRPr="001D1DDB">
        <w:t xml:space="preserve"> 'Amministrazione scolastica centrale e periferica o da soggetti qualificati,  accreditati  e autorizzati dal MIUR/MIT . Tuttavia si deroga al DS la valutazione di una partecipazione ulteriore di </w:t>
      </w:r>
      <w:proofErr w:type="gramStart"/>
      <w:r w:rsidRPr="001D1DDB">
        <w:t>docenti ,</w:t>
      </w:r>
      <w:proofErr w:type="gramEnd"/>
      <w:r w:rsidRPr="001D1DDB">
        <w:t xml:space="preserve"> fino a un </w:t>
      </w:r>
      <w:proofErr w:type="spellStart"/>
      <w:r w:rsidRPr="001D1DDB">
        <w:t>max</w:t>
      </w:r>
      <w:proofErr w:type="spellEnd"/>
      <w:r w:rsidRPr="001D1DDB">
        <w:t xml:space="preserve"> di 4 unità , nel caso in cui si verificassero le condizioni per  una sostituzione non problematica.</w:t>
      </w:r>
    </w:p>
    <w:p w:rsidR="005D5B7B" w:rsidRDefault="005D5B7B" w:rsidP="005D5B7B">
      <w:pPr>
        <w:jc w:val="both"/>
      </w:pP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shd w:val="clear" w:color="auto" w:fill="FFE8A7"/>
        <w:tblLook w:val="01E0" w:firstRow="1" w:lastRow="1" w:firstColumn="1" w:lastColumn="1" w:noHBand="0" w:noVBand="0"/>
      </w:tblPr>
      <w:tblGrid>
        <w:gridCol w:w="1065"/>
        <w:gridCol w:w="8449"/>
      </w:tblGrid>
      <w:tr w:rsidR="005D5B7B" w:rsidRPr="006B6051" w:rsidTr="00D45501">
        <w:tc>
          <w:tcPr>
            <w:tcW w:w="1065" w:type="dxa"/>
            <w:tcBorders>
              <w:top w:val="single" w:sz="8" w:space="0" w:color="3366FF"/>
              <w:bottom w:val="single" w:sz="18" w:space="0" w:color="3366FF"/>
              <w:right w:val="single" w:sz="6" w:space="0" w:color="3366FF"/>
            </w:tcBorders>
            <w:shd w:val="clear" w:color="auto" w:fill="FFE8A7"/>
          </w:tcPr>
          <w:p w:rsidR="005D5B7B" w:rsidRPr="00251FDD" w:rsidRDefault="005D5B7B" w:rsidP="005D5B7B">
            <w:pPr>
              <w:jc w:val="both"/>
              <w:rPr>
                <w:b/>
                <w:bCs/>
                <w:smallCaps/>
                <w:sz w:val="22"/>
                <w:szCs w:val="22"/>
              </w:rPr>
            </w:pPr>
            <w:r w:rsidRPr="00A21A47">
              <w:rPr>
                <w:b/>
                <w:bCs/>
                <w:sz w:val="22"/>
                <w:szCs w:val="22"/>
                <w:u w:val="single"/>
              </w:rPr>
              <w:t>Punto</w:t>
            </w:r>
            <w:r>
              <w:rPr>
                <w:b/>
                <w:bCs/>
                <w:sz w:val="22"/>
                <w:szCs w:val="22"/>
                <w:u w:val="single"/>
              </w:rPr>
              <w:t>20</w:t>
            </w:r>
          </w:p>
        </w:tc>
        <w:tc>
          <w:tcPr>
            <w:tcW w:w="8449" w:type="dxa"/>
            <w:tcBorders>
              <w:top w:val="single" w:sz="8" w:space="0" w:color="3366FF"/>
              <w:left w:val="single" w:sz="6" w:space="0" w:color="3366FF"/>
              <w:bottom w:val="single" w:sz="18" w:space="0" w:color="3366FF"/>
            </w:tcBorders>
            <w:shd w:val="clear" w:color="auto" w:fill="FFE8A7"/>
          </w:tcPr>
          <w:p w:rsidR="005D5B7B" w:rsidRPr="0067658A" w:rsidRDefault="005D5B7B" w:rsidP="00D45501">
            <w:pPr>
              <w:autoSpaceDE w:val="0"/>
              <w:autoSpaceDN w:val="0"/>
              <w:adjustRightInd w:val="0"/>
              <w:rPr>
                <w:b/>
              </w:rPr>
            </w:pPr>
            <w:r w:rsidRPr="0067658A">
              <w:rPr>
                <w:b/>
              </w:rPr>
              <w:t>AUTORIZZAZIONE PER L’ESERCIZIO DELLA LIBERA PROFESSIONE</w:t>
            </w:r>
          </w:p>
        </w:tc>
      </w:tr>
    </w:tbl>
    <w:p w:rsidR="005D5B7B" w:rsidRDefault="005D5B7B" w:rsidP="005D5B7B">
      <w:pPr>
        <w:jc w:val="both"/>
      </w:pPr>
    </w:p>
    <w:p w:rsidR="005D5B7B" w:rsidRDefault="005D5B7B" w:rsidP="005D5B7B">
      <w:pPr>
        <w:jc w:val="both"/>
      </w:pPr>
      <w:r>
        <w:t>Le richieste per l’esercizio della libera professione devono essere fatte entro il 15 settembre del 20</w:t>
      </w:r>
      <w:r>
        <w:t>21</w:t>
      </w:r>
      <w:r>
        <w:t>.</w:t>
      </w:r>
      <w:bookmarkStart w:id="0" w:name="_GoBack"/>
      <w:bookmarkEnd w:id="0"/>
    </w:p>
    <w:p w:rsidR="00961342" w:rsidRDefault="00961342"/>
    <w:sectPr w:rsidR="009613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5D8"/>
    <w:rsid w:val="005D5B7B"/>
    <w:rsid w:val="00961342"/>
    <w:rsid w:val="00D525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AC7CC"/>
  <w15:chartTrackingRefBased/>
  <w15:docId w15:val="{5EDF002E-9DE6-4B2C-93E9-640B60558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D5B7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1407</Characters>
  <Application>Microsoft Office Word</Application>
  <DocSecurity>0</DocSecurity>
  <Lines>11</Lines>
  <Paragraphs>3</Paragraphs>
  <ScaleCrop>false</ScaleCrop>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NOVI</dc:creator>
  <cp:keywords/>
  <dc:description/>
  <cp:lastModifiedBy>DANIELA NOVI</cp:lastModifiedBy>
  <cp:revision>2</cp:revision>
  <dcterms:created xsi:type="dcterms:W3CDTF">2021-08-30T07:50:00Z</dcterms:created>
  <dcterms:modified xsi:type="dcterms:W3CDTF">2021-08-30T07:51:00Z</dcterms:modified>
</cp:coreProperties>
</file>